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Remote Clinical Operations Lead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Pay: $50 hour ($104,000 annually) and we offer PTO + medical/dental/vision benefits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Length: The contract is written in 12 month increments and renewable up to 3 years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Location: 100% Home-Based/Remote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Vaccination: Required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Department Info: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Pharma Product Development (PD) Global Clinical Operations (PDG)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Job Scope: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As a Clinical Operations Lead in a cross-functional, matrixed organization, the COL will be empowered to work with people across PDG and beyond to enable all teams to perform at their best, foster a growth mindset to optimize potential and talent, and flow to high impact work to advance our medicines for patients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COL will have the opportunity to work as needed across one or more areas of PDG including: global study management, patient/disease areas, local country clinical operations, biosample management, quality management, systems and process development, learning, insights and analytics, as well as strategic focus areas, such as innovation &amp; creativity, investigator centricity &amp; partnering, patient &amp; caregiver benefit, inclusive research, diversity &amp; inclusion, talent flow, and other areas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 a Clinical Operations Lead, responsibilities will include: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Clinical operations - focused on the US, assisting in operational activities from study start-up through database lock: including feasibility, regulatory document management, systems maintenance, site support and vendor management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Local and global initiatives and personal development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Over time the COL will flow to other responsibilities according to business needs and your interest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COL will exemplify the following: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Basic knowledge of clinical operations or related areas and ICH GCP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Building subject matter expertise on specific clinical operations activities through supporting the execution of clinical trials and/or enabling projects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Collaborating across departments and other functions to develop and implement best practices across clinical operations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Ability to serve as a resource for colleagues; can work across moderate sized projects with manageable risks and resource requirements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Raises concerns/issues which impact the enterprise as a whole and that all members of the team have an interest in resolving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Soft skills: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COL is talented and passionate, and would fit in well with the collaborative, rigorous, and entrepreneurial spirit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Have a growth mindset and are excited about learning through experimentation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Thrive in fast-paced, ambiguous, and highly collaborative environments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Excited to work in a diverse and matrixed environment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Find passion in achieving successful outcomes through collaboration, continuous learning, sharing your skills and expertise, coaching and inspiring others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Want to make a difference and find excitement in innovating practices, products and processes that bring hope to patients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Additional notes: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This team likes candidates with a combination of Study Start-Up/Country Study experience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They look for someone with an agile mindset as it is not certain which part of the clinical trial they will be working on (startup, conduct or close-out)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